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ОПИСАНИЕ ОБЪЕКТА ЗАКУПКИ</w:t>
      </w:r>
    </w:p>
    <w:p>
      <w:pPr>
        <w:pStyle w:val="Normal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на приобретение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дизельного генератора мощностью не менее 100 кВт,  в шумозащитном всепогодном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еврокожухе, для нужд </w:t>
      </w:r>
      <w:r>
        <w:rPr>
          <w:sz w:val="24"/>
          <w:szCs w:val="24"/>
        </w:rPr>
        <w:t>ООО «ЭНСИ».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5280" w:type="dxa"/>
        <w:jc w:val="left"/>
        <w:tblInd w:w="41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firstRow="0" w:noVBand="0" w:lastRow="0" w:firstColumn="0" w:lastColumn="0" w:noHBand="0" w:val="0000"/>
      </w:tblPr>
      <w:tblGrid>
        <w:gridCol w:w="15280"/>
      </w:tblGrid>
      <w:tr>
        <w:trPr>
          <w:trHeight w:val="226" w:hRule="atLeast"/>
        </w:trPr>
        <w:tc>
          <w:tcPr>
            <w:tcW w:w="15280" w:type="dxa"/>
            <w:tcBorders/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1. Наименование объекта закупки</w:t>
            </w:r>
            <w:r>
              <w:rPr>
                <w:spacing w:val="-1"/>
                <w:sz w:val="24"/>
                <w:szCs w:val="24"/>
              </w:rPr>
              <w:t xml:space="preserve">: </w:t>
            </w:r>
            <w:r>
              <w:rPr>
                <w:bCs/>
                <w:sz w:val="24"/>
                <w:szCs w:val="24"/>
              </w:rPr>
              <w:t>приобретение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дизельного генератора мощностью не менее 100 кВт,  в шумозащитном всепогодном </w:t>
            </w:r>
          </w:p>
          <w:p>
            <w:pPr>
              <w:pStyle w:val="Normal"/>
              <w:widowControl w:val="false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еврокожухе, для нужд ООО «ЭНСИ»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(далее – Товар).</w:t>
            </w:r>
          </w:p>
        </w:tc>
      </w:tr>
      <w:tr>
        <w:trPr>
          <w:trHeight w:val="653" w:hRule="atLeast"/>
        </w:trPr>
        <w:tc>
          <w:tcPr>
            <w:tcW w:w="15280" w:type="dxa"/>
            <w:tcBorders/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jc w:val="both"/>
              <w:rPr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2. Требование к качеству Товара:</w:t>
            </w:r>
          </w:p>
          <w:p>
            <w:pPr>
              <w:pStyle w:val="Normal"/>
              <w:widowControl w:val="false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Поставляемый Товар должен соответствовать государственному стандарту или техническим условиям, принятым для данного вида Товара;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Поставляемый товар должен быть новым товаром не ранее 2024 года выпуска (не бывший в эксплуатации, не восстановленный, не снятый с производства, соответствует требованиям стандартов по качеству, упаковке и маркировке) пригодным к эксплуатации, без каких – либо ограничений (залог, запрет, арест и т.п.) допущенным к свободному обращению на территории Российской Федерации, корпус товара не должен иметь потертостей, царапин, сколов;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Поставляемый Товар должен иметь все необходимые документы, которые передаются Заказчику при поставке Товара. Формы указанной документации должны соответствовать требованиям, предъявляемым нормативными актами к документации подобного типа в РФ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Качество Товара должно соответствовать действующим нормам и ГОСТам.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Р 53986-2010 (ИСО 8528-3:2005) "Электроагрегаты генераторные переменного тока с приводом от двигателя внутреннего сгорания. Часть 3. Генераторы переменного тока"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Р 53987-2010 Электроагрегаты генераторные переменного тока с приводом от двигателя внутреннего сгорания. Часть 1. Применение, технические характеристики и параметры</w:t>
              <w:tab/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33115-2014 "Установки электрогенераторные с дизельными и газовыми двигателями внутреннего сгорания. Общие технические условия (с Поправкой)"</w:t>
            </w:r>
          </w:p>
          <w:p>
            <w:pPr>
              <w:pStyle w:val="Normal"/>
              <w:widowControl w:val="fals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наличии обоснованных претензий Заказчика к качеству Товара Поставщик осуществляет своими силами и за свой счёт все необходимые меры по их удовлетворению, в том числе, по урегулированию претензий с изготовителем.</w:t>
            </w:r>
          </w:p>
          <w:p>
            <w:pPr>
              <w:pStyle w:val="Normal"/>
              <w:widowControl w:val="false"/>
              <w:suppressAutoHyphens w:val="false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Маркировка, упаковка товара должна соответствовать требованиям нормативно-технической документации, утвержденной в установленном порядке.</w:t>
            </w:r>
          </w:p>
          <w:p>
            <w:pPr>
              <w:pStyle w:val="Normal"/>
              <w:widowControl w:val="false"/>
              <w:suppressAutoHyphens w:val="false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комплект поставки должны входить все необходимые принадлежности для обеспечения работоспособности поставляемого товара.</w:t>
            </w:r>
          </w:p>
        </w:tc>
      </w:tr>
      <w:tr>
        <w:trPr>
          <w:trHeight w:val="653" w:hRule="atLeast"/>
        </w:trPr>
        <w:tc>
          <w:tcPr>
            <w:tcW w:w="15280" w:type="dxa"/>
            <w:tcBorders/>
            <w:shd w:color="auto" w:fill="FFFFFF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 Требования к гарантийному сроку работы/услуги и (или) объему предоставления гарантий их качества: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предоставления гарантии поставщика на поставляемый товар – не менее 12 месяцев с даты подписания документа о приемке или 1000 м/ч (в зависимости от того, что наступит ранее), объем предоставления гарантии - в полном объеме на поставляемый Товар, гарантия предоставляется вместе с товаром. </w:t>
            </w:r>
            <w:r>
              <w:rPr>
                <w:i/>
                <w:iCs/>
                <w:color w:val="000000"/>
                <w:sz w:val="24"/>
                <w:szCs w:val="24"/>
              </w:rPr>
              <w:t>(Данное требование является безусловным к исполнению, и не требует отдельного подтверждения (указания) в составе заявки. Подтверждено условиями проекта контракта)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обслуживание товара в гарантийный срок несет поставщик в пределах гарантийных обязательств.</w:t>
            </w:r>
          </w:p>
        </w:tc>
      </w:tr>
    </w:tbl>
    <w:p>
      <w:pPr>
        <w:pStyle w:val="Normal"/>
        <w:widowControl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3. Характеристики Товара:</w:t>
      </w:r>
    </w:p>
    <w:p>
      <w:pPr>
        <w:pStyle w:val="Normal"/>
        <w:widowControl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"/>
        <w:gridCol w:w="1695"/>
        <w:gridCol w:w="4433"/>
        <w:gridCol w:w="3368"/>
        <w:gridCol w:w="3638"/>
        <w:gridCol w:w="993"/>
        <w:gridCol w:w="924"/>
      </w:tblGrid>
      <w:tr>
        <w:trPr>
          <w:trHeight w:val="541" w:hRule="atLeast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7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Функциональные, технические и качественные характеристики 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Код позиции </w:t>
            </w:r>
            <w:r>
              <w:rPr>
                <w:b/>
                <w:color w:val="000000"/>
                <w:sz w:val="24"/>
                <w:szCs w:val="24"/>
              </w:rPr>
              <w:t>ОКВЭД2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ед. изм. Товара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Кол-во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Товара</w:t>
            </w:r>
          </w:p>
        </w:tc>
      </w:tr>
      <w:tr>
        <w:trPr>
          <w:trHeight w:val="383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4"/>
                <w:szCs w:val="24"/>
                <w:shd w:fill="FFFFFF" w:val="clear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Наименование показателя (участник закупки указывает наименование показателя так, как указано Заказчиком)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4"/>
                <w:szCs w:val="24"/>
                <w:shd w:fill="FFFFFF" w:val="clear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4"/>
                <w:szCs w:val="24"/>
                <w:lang w:eastAsia="en-US"/>
              </w:rPr>
              <w:t>Значение показателя, требуемые Заказчиком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и единица измерения (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color w:val="C9211E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color w:val="C9211E"/>
                <w:sz w:val="24"/>
                <w:szCs w:val="24"/>
                <w:lang w:eastAsia="en-US"/>
              </w:rPr>
              <w:t>27.11.30.000-00000003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iCs/>
                <w:sz w:val="24"/>
                <w:szCs w:val="24"/>
                <w:lang w:eastAsia="en-US"/>
              </w:rPr>
              <w:t>1</w:t>
            </w:r>
          </w:p>
        </w:tc>
      </w:tr>
      <w:tr>
        <w:trPr>
          <w:trHeight w:val="58" w:hRule="atLeast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Приобретение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дизельного генератора мощностью не менее 100 кВт, в шумозащитном всепогодном 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еврокожухе для нужд </w:t>
            </w:r>
            <w:r>
              <w:rPr>
                <w:sz w:val="24"/>
                <w:szCs w:val="24"/>
              </w:rPr>
              <w:t>ООО «ЭНСИ».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Дизельный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58" w:hRule="atLeast"/>
        </w:trPr>
        <w:tc>
          <w:tcPr>
            <w:tcW w:w="5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169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Впрыск</w:t>
            </w:r>
          </w:p>
        </w:tc>
        <w:tc>
          <w:tcPr>
            <w:tcW w:w="33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>
              <w:rPr>
                <w:rFonts w:eastAsia="Calibri"/>
                <w:sz w:val="24"/>
                <w:szCs w:val="24"/>
                <w:lang w:eastAsia="en-US"/>
              </w:rPr>
              <w:t>рямой</w:t>
            </w:r>
          </w:p>
        </w:tc>
        <w:tc>
          <w:tcPr>
            <w:tcW w:w="363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167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тока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Переменный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7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охлаждения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Воздушн</w:t>
            </w:r>
            <w:r>
              <w:rPr>
                <w:rFonts w:eastAsia="Calibri"/>
                <w:sz w:val="24"/>
                <w:szCs w:val="24"/>
                <w:lang w:eastAsia="en-US"/>
              </w:rPr>
              <w:t>ая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7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запуска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Автоматический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7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мощность генератора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&gt; 100 и ≤ 150 киловатт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7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фаз генератора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7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исполнения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капотный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7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генератора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Синхронный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4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назначению 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Резервный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14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по степени подвижности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передвижной буксируемый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1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400 Вольт</w:t>
            </w:r>
          </w:p>
        </w:tc>
        <w:tc>
          <w:tcPr>
            <w:tcW w:w="36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101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Дополнительные характеристики*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>Обоснование применения дополнительных характеристик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190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Всепогодный шумозащитный кожух:</w:t>
            </w:r>
          </w:p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• </w:t>
            </w:r>
            <w:r>
              <w:rPr>
                <w:rFonts w:eastAsia="Calibri"/>
                <w:sz w:val="24"/>
                <w:szCs w:val="24"/>
                <w:lang w:eastAsia="en-US"/>
              </w:rPr>
              <w:t>Специальная конструкция для минимизации шума генератора</w:t>
            </w:r>
          </w:p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• </w:t>
            </w:r>
            <w:r>
              <w:rPr>
                <w:rFonts w:eastAsia="Calibri"/>
                <w:sz w:val="24"/>
                <w:szCs w:val="24"/>
                <w:lang w:eastAsia="en-US"/>
              </w:rPr>
              <w:t>Конструкция из оцинкованной стали дополнительно защищена полиэфирной порошковой краской</w:t>
            </w:r>
          </w:p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• </w:t>
            </w:r>
            <w:r>
              <w:rPr>
                <w:rFonts w:eastAsia="Calibri"/>
                <w:sz w:val="24"/>
                <w:szCs w:val="24"/>
                <w:lang w:eastAsia="en-US"/>
              </w:rPr>
              <w:t>Замки и петли из нержавеющей стали с чернением</w:t>
            </w:r>
          </w:p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• </w:t>
            </w:r>
            <w:r>
              <w:rPr>
                <w:rFonts w:eastAsia="Calibri"/>
                <w:sz w:val="24"/>
                <w:szCs w:val="24"/>
                <w:lang w:eastAsia="en-US"/>
              </w:rPr>
              <w:t>Смотровое окно панели управления с закрывающейся дверцей</w:t>
            </w:r>
          </w:p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• </w:t>
            </w:r>
            <w:r>
              <w:rPr>
                <w:rFonts w:eastAsia="Calibri"/>
                <w:sz w:val="24"/>
                <w:szCs w:val="24"/>
                <w:lang w:eastAsia="en-US"/>
              </w:rPr>
              <w:t>Кнопка аварийного останова установлена на внешней стороне кожуха</w:t>
            </w:r>
          </w:p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• </w:t>
            </w:r>
            <w:r>
              <w:rPr>
                <w:rFonts w:eastAsia="Calibri"/>
                <w:sz w:val="24"/>
                <w:szCs w:val="24"/>
                <w:lang w:eastAsia="en-US"/>
              </w:rPr>
              <w:t>Специальные места для подъема и домкрата на опорной раме</w:t>
            </w:r>
          </w:p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• </w:t>
            </w:r>
            <w:r>
              <w:rPr>
                <w:rFonts w:eastAsia="Calibri"/>
                <w:sz w:val="24"/>
                <w:szCs w:val="24"/>
                <w:lang w:eastAsia="en-US"/>
              </w:rPr>
              <w:t>Наполнение радиатора осуществляется через съемную водонепроницаемую невыступающую крышку</w:t>
            </w:r>
          </w:p>
          <w:p>
            <w:pPr>
              <w:pStyle w:val="Normal"/>
              <w:widowControl w:val="false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• </w:t>
            </w:r>
            <w:r>
              <w:rPr>
                <w:rFonts w:eastAsia="Calibri"/>
                <w:sz w:val="24"/>
                <w:szCs w:val="24"/>
                <w:lang w:eastAsia="en-US"/>
              </w:rPr>
              <w:t>Звукоизоляция из влагоотталкивающего и негорючего материала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362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Объем топливного бака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&gt; 200 и ≤ 250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225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Система охлаждения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Жидкостная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379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Частота, Гц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379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Степень автоматизации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379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цилиндров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6, рядное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379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Система аварийной остановки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379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Датчик уровня топлива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  <w:tr>
        <w:trPr>
          <w:trHeight w:val="379" w:hRule="atLeast"/>
        </w:trPr>
        <w:tc>
          <w:tcPr>
            <w:tcW w:w="5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Шасси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двухосное, автомобильное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эффективности эксплуатации</w:t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tcW w:w="9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tabs>
          <w:tab w:val="clear" w:pos="720"/>
          <w:tab w:val="left" w:pos="993" w:leader="none"/>
        </w:tabs>
        <w:spacing w:before="0" w:after="0"/>
        <w:contextualSpacing/>
        <w:jc w:val="both"/>
        <w:rPr>
          <w:rFonts w:eastAsia="Calibri"/>
          <w:i/>
          <w:i/>
          <w:iCs/>
          <w:sz w:val="24"/>
          <w:szCs w:val="24"/>
          <w:lang w:eastAsia="en-US"/>
        </w:rPr>
      </w:pPr>
      <w:r>
        <w:rPr>
          <w:i/>
          <w:sz w:val="24"/>
          <w:szCs w:val="24"/>
        </w:rPr>
        <w:t>*</w:t>
      </w:r>
      <w:r>
        <w:rPr>
          <w:rFonts w:eastAsia="Calibri"/>
          <w:sz w:val="24"/>
          <w:szCs w:val="24"/>
          <w:lang w:eastAsia="en-US"/>
        </w:rPr>
        <w:t xml:space="preserve"> - </w:t>
      </w:r>
      <w:r>
        <w:rPr>
          <w:rFonts w:eastAsia="Calibri"/>
          <w:i/>
          <w:iCs/>
          <w:sz w:val="24"/>
          <w:szCs w:val="24"/>
          <w:lang w:eastAsia="en-US"/>
        </w:rPr>
        <w:t>Необходимость использования дополнительной информации при наличии описания товара, работы, услуги в позиции каталога товаров, работ, услуг обоснована потребностью Заказчика, в связи с тем, что характеристики, указанные в КТРУ не являются исчерпывающими и не позволяют точно определить качественные, функциональные и технические характеристики закупаемого товара,</w:t>
      </w:r>
    </w:p>
    <w:p>
      <w:pPr>
        <w:pStyle w:val="Normal"/>
        <w:widowControl/>
        <w:tabs>
          <w:tab w:val="clear" w:pos="720"/>
          <w:tab w:val="left" w:pos="993" w:leader="none"/>
        </w:tabs>
        <w:suppressAutoHyphens w:val="false"/>
        <w:spacing w:before="0" w:after="0"/>
        <w:contextualSpacing/>
        <w:jc w:val="both"/>
        <w:rPr>
          <w:rFonts w:eastAsia="Calibri"/>
          <w:i/>
          <w:i/>
          <w:iCs/>
          <w:sz w:val="24"/>
          <w:szCs w:val="24"/>
          <w:lang w:eastAsia="en-US"/>
        </w:rPr>
      </w:pPr>
      <w:r>
        <w:rPr>
          <w:rFonts w:eastAsia="Calibri"/>
          <w:i/>
          <w:iCs/>
          <w:sz w:val="24"/>
          <w:szCs w:val="24"/>
          <w:lang w:eastAsia="en-US"/>
        </w:rPr>
        <w:t>- В описании объекта закупки указана дополнительная информация исходя из характеристик, которым отвечает закупаемый товар.</w:t>
      </w:r>
    </w:p>
    <w:p>
      <w:pPr>
        <w:pStyle w:val="Normal"/>
        <w:widowControl/>
        <w:shd w:val="clear" w:color="auto" w:fill="FFFFFF"/>
        <w:suppressAutoHyphens w:val="false"/>
        <w:jc w:val="both"/>
        <w:rPr>
          <w:rFonts w:eastAsia="Calibri"/>
          <w:b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Условия поставки товара:</w:t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Место поставки: </w:t>
      </w:r>
      <w:r>
        <w:rPr>
          <w:rFonts w:eastAsia="Calibri"/>
          <w:sz w:val="24"/>
          <w:szCs w:val="24"/>
          <w:lang w:eastAsia="en-US"/>
        </w:rPr>
        <w:t>Тверская область, г. Андреаполь, пл. Ленина, д.2</w:t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/>
          <w:i/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 xml:space="preserve">Срок поставки товара: </w:t>
      </w:r>
      <w:r>
        <w:rPr>
          <w:rFonts w:eastAsia="Calibri"/>
          <w:sz w:val="24"/>
          <w:szCs w:val="24"/>
          <w:lang w:eastAsia="en-US"/>
        </w:rPr>
        <w:t>с даты заключения контракта в течение 60 дней.</w:t>
      </w:r>
    </w:p>
    <w:p>
      <w:pPr>
        <w:pStyle w:val="Normal"/>
        <w:widowControl/>
        <w:suppressAutoHyphens w:val="false"/>
        <w:jc w:val="both"/>
        <w:rPr>
          <w:rFonts w:eastAsia="Calibri"/>
          <w:iCs/>
          <w:sz w:val="24"/>
          <w:szCs w:val="24"/>
          <w:lang w:eastAsia="en-US"/>
        </w:rPr>
      </w:pPr>
      <w:r>
        <w:rPr>
          <w:rFonts w:eastAsia="Calibri"/>
          <w:iCs/>
          <w:sz w:val="24"/>
          <w:szCs w:val="24"/>
          <w:lang w:eastAsia="en-US"/>
        </w:rPr>
        <w:t>Доставка товара осуществляется Поставщиком.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Товар при доставке содержит документацию: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а) техническую и (или) эксплуатационную документацию производителя (изготовителя) Товара на русском языке;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б) товарную накладную, оформленную в установленном порядке;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в) Акт приема-передачи Товара по Контракту (приложение № 3 к Контракту) в двух экземплярах (один экземпляр для Заказчика и один экземпляр для Поставщика);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г) гарантию производителя на Товар;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д) гарантию Поставщика на Товар,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е) копию документа, подтверждающего соответствие Товара, выданного уполномоченными органами (организациями) (при наличии);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ж) сведения, необходимые для работы с Товаром, включая предоставление ключей, паролей доступа, программ и иных сведений, необходимых для наладки, применения, эксплуатации, технического обслуживания данного вида Товара;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з) счет;</w:t>
      </w:r>
    </w:p>
    <w:p>
      <w:pPr>
        <w:pStyle w:val="Normal"/>
        <w:widowControl/>
        <w:suppressAutoHyphens w:val="false"/>
        <w:ind w:firstLine="426"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и) счет-фактуру (при наличии).</w:t>
      </w:r>
    </w:p>
    <w:p>
      <w:pPr>
        <w:pStyle w:val="Normal"/>
        <w:widowControl/>
        <w:suppressAutoHyphens w:val="false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случае отсутствия вышеназванных документов Заказчик вправе отказаться от приема товара. Товар будет считаться не поставленным. </w:t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Cs/>
          <w:sz w:val="24"/>
          <w:szCs w:val="24"/>
        </w:rPr>
      </w:pPr>
      <w:r>
        <w:rPr>
          <w:iCs/>
          <w:sz w:val="24"/>
          <w:szCs w:val="24"/>
        </w:rPr>
        <w:t>И.о.Главы Андреапольского муниципального округа</w:t>
        <w:tab/>
        <w:tab/>
        <w:tab/>
        <w:tab/>
        <w:tab/>
        <w:tab/>
        <w:tab/>
        <w:t>С.Д.Пааль</w:t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Cs/>
          <w:sz w:val="24"/>
          <w:szCs w:val="24"/>
        </w:rPr>
      </w:pPr>
      <w:r>
        <w:rPr/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Cs/>
          <w:sz w:val="24"/>
          <w:szCs w:val="24"/>
        </w:rPr>
      </w:pPr>
      <w:r>
        <w:rPr/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Cs/>
          <w:sz w:val="24"/>
          <w:szCs w:val="24"/>
        </w:rPr>
      </w:pPr>
      <w:r>
        <w:rPr/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Cs/>
          <w:sz w:val="24"/>
          <w:szCs w:val="24"/>
        </w:rPr>
      </w:pPr>
      <w:r>
        <w:rPr/>
      </w:r>
      <w: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align>left</wp:align>
                </wp:positionH>
                <wp:positionV relativeFrom="line">
                  <wp:posOffset>635</wp:posOffset>
                </wp:positionV>
                <wp:extent cx="4943475" cy="3564255"/>
                <wp:effectExtent l="0" t="0" r="0" b="0"/>
                <wp:wrapSquare wrapText="largest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3475" cy="356425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25"/>
                              <w:widowControl/>
                              <w:pBdr/>
                              <w:shd w:fill="000000" w:val="clear"/>
                              <w:spacing w:before="0" w:after="0"/>
                              <w:ind w:left="0" w:right="0" w:hanging="0"/>
                              <w:jc w:val="center"/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  <w:t>Основные характеристики</w:t>
                            </w:r>
                          </w:p>
                          <w:tbl>
                            <w:tblPr>
                              <w:tblW w:w="5833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388"/>
                              <w:gridCol w:w="2445"/>
                            </w:tblGrid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Модель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AD100-T400R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Основная мощность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100 кВт / 125 кВА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Резервная мощность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110 кВт / 137.5 кВА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Напряжение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400 В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Номинальный ток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180 А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Коэффициент мощности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0.8 (cos φ)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Количество фаз 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Частота 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50 Гц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Запуск 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электростарт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Вид топлива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дизель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Расход топлива при 50% нагрузке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14.9 л/ч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Расход топлива при 75% нагрузке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20.9 л/ч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Расход топлива при 100% нагрузке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28 л/ч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Емкость топливного бака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180 л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Исполнение 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в шумозащитном кожухе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  <w:shd w:fill="FFFFFF" w:val="clear"/>
                                    </w:rPr>
                                    <w:t>Панель управления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shd w:fill="FFFFFF" w:val="clear"/>
                                    </w:rPr>
                                    <w:t>DC52D MK3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388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Производитель</w:t>
                                  </w:r>
                                </w:p>
                              </w:tc>
                              <w:tc>
                                <w:tcPr>
                                  <w:tcW w:w="2445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Zeus (Турция)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5"/>
                              <w:widowControl/>
                              <w:pBdr/>
                              <w:shd w:fill="000000" w:val="clear"/>
                              <w:spacing w:before="0" w:after="0"/>
                              <w:ind w:left="0" w:right="0" w:hanging="0"/>
                              <w:jc w:val="center"/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  <w:t>Габаритные размеры и вес</w:t>
                            </w:r>
                          </w:p>
                          <w:tbl>
                            <w:tblPr>
                              <w:tblW w:w="1757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844"/>
                              <w:gridCol w:w="913"/>
                            </w:tblGrid>
                            <w:tr>
                              <w:trPr/>
                              <w:tc>
                                <w:tcPr>
                                  <w:tcW w:w="844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Длина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2750 мм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844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Ширина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1050 мм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844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Высота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1450 мм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844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Вес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1580 кг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5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389.25pt;height:280.65pt;mso-wrap-distance-left:0pt;mso-wrap-distance-right:0pt;mso-wrap-distance-top:0pt;mso-wrap-distance-bottom:0pt;margin-top:0pt;mso-position-vertical:top;mso-position-vertical-relative:text;margin-left:0pt;mso-position-horizontal:left;mso-position-horizontal-relative:text">
                <v:textbox inset="0in,0in,0in,0in">
                  <w:txbxContent>
                    <w:p>
                      <w:pPr>
                        <w:pStyle w:val="Style25"/>
                        <w:widowControl/>
                        <w:pBdr/>
                        <w:shd w:fill="000000" w:val="clear"/>
                        <w:spacing w:before="0" w:after="0"/>
                        <w:ind w:left="0" w:right="0" w:hanging="0"/>
                        <w:jc w:val="center"/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</w:pPr>
                      <w:r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  <w:t>Основные характеристики</w:t>
                      </w:r>
                    </w:p>
                    <w:tbl>
                      <w:tblPr>
                        <w:tblW w:w="5833" w:type="dxa"/>
                        <w:jc w:val="left"/>
                        <w:tblInd w:w="0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388"/>
                        <w:gridCol w:w="2445"/>
                      </w:tblGrid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Модель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AD100-T400R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Основная мощность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100 кВт / 125 кВА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Резервная мощность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110 кВт / 137.5 кВА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Напряжение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400 В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Номинальный ток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180 А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Коэффициент мощности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0.8 (cos φ)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Количество фаз 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3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Частота 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50 Гц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Запуск 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электростарт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Вид топлива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дизель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Расход топлива при 50% нагрузке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14.9 л/ч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Расход топлива при 75% нагрузке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20.9 л/ч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Расход топлива при 100% нагрузке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28 л/ч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Емкость топливного бака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180 л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Исполнение 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в шумозащитном кожухе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  <w:shd w:fill="FFFFFF" w:val="clear"/>
                              </w:rPr>
                              <w:t>Панель управления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shd w:fill="FFFFFF" w:val="clear"/>
                              </w:rPr>
                              <w:t>DC52D MK3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388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Производитель</w:t>
                            </w:r>
                          </w:p>
                        </w:tc>
                        <w:tc>
                          <w:tcPr>
                            <w:tcW w:w="2445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Zeus (Турция)</w:t>
                            </w:r>
                          </w:p>
                        </w:tc>
                      </w:tr>
                    </w:tbl>
                    <w:p>
                      <w:pPr>
                        <w:pStyle w:val="Style25"/>
                        <w:widowControl/>
                        <w:pBdr/>
                        <w:shd w:fill="000000" w:val="clear"/>
                        <w:spacing w:before="0" w:after="0"/>
                        <w:ind w:left="0" w:right="0" w:hanging="0"/>
                        <w:jc w:val="center"/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</w:pPr>
                      <w:r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  <w:t>Габаритные размеры и вес</w:t>
                      </w:r>
                    </w:p>
                    <w:tbl>
                      <w:tblPr>
                        <w:tblW w:w="1757" w:type="dxa"/>
                        <w:jc w:val="left"/>
                        <w:tblInd w:w="0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844"/>
                        <w:gridCol w:w="913"/>
                      </w:tblGrid>
                      <w:tr>
                        <w:trPr/>
                        <w:tc>
                          <w:tcPr>
                            <w:tcW w:w="844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Длина</w:t>
                            </w:r>
                          </w:p>
                        </w:tc>
                        <w:tc>
                          <w:tcPr>
                            <w:tcW w:w="91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2750 мм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844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Ширина</w:t>
                            </w:r>
                          </w:p>
                        </w:tc>
                        <w:tc>
                          <w:tcPr>
                            <w:tcW w:w="91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1050 мм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844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Высота</w:t>
                            </w:r>
                          </w:p>
                        </w:tc>
                        <w:tc>
                          <w:tcPr>
                            <w:tcW w:w="91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1450 мм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844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Вес</w:t>
                            </w:r>
                          </w:p>
                        </w:tc>
                        <w:tc>
                          <w:tcPr>
                            <w:tcW w:w="91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1580 кг</w:t>
                            </w:r>
                          </w:p>
                        </w:tc>
                      </w:tr>
                    </w:tbl>
                    <w:p>
                      <w:pPr>
                        <w:pStyle w:val="Style25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 side="right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align>right</wp:align>
                </wp:positionH>
                <wp:positionV relativeFrom="line">
                  <wp:posOffset>635</wp:posOffset>
                </wp:positionV>
                <wp:extent cx="4943475" cy="3155315"/>
                <wp:effectExtent l="0" t="0" r="0" b="0"/>
                <wp:wrapSquare wrapText="largest"/>
                <wp:docPr id="2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3475" cy="315531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Style25"/>
                              <w:widowControl/>
                              <w:pBdr/>
                              <w:shd w:fill="000000" w:val="clear"/>
                              <w:spacing w:before="0" w:after="0"/>
                              <w:ind w:left="0" w:right="0" w:hanging="0"/>
                              <w:jc w:val="center"/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  <w:t>Двигатель</w:t>
                            </w:r>
                          </w:p>
                          <w:tbl>
                            <w:tblPr>
                              <w:tblW w:w="5389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3056"/>
                              <w:gridCol w:w="2333"/>
                            </w:tblGrid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Марка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Ricardo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Модель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R6105AZLD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Тип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дизельный, 4-х тактный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Количество цилиндров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Рабочий объём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6.75 л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Охлаждение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жидкостное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Частота вращения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1500 об/мин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Регулятор оборотов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электронный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Объем масла в двигателе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18 л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Рекомендуемый тип масла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SAE 15W40/10W30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3056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Объем охлаждающей жидкости</w:t>
                                  </w:r>
                                </w:p>
                              </w:tc>
                              <w:tc>
                                <w:tcPr>
                                  <w:tcW w:w="2333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23 л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5"/>
                              <w:widowControl/>
                              <w:pBdr/>
                              <w:shd w:fill="000000" w:val="clear"/>
                              <w:spacing w:before="0" w:after="0"/>
                              <w:ind w:left="0" w:right="0" w:hanging="0"/>
                              <w:jc w:val="center"/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  <w:t>Генератор</w:t>
                            </w:r>
                          </w:p>
                          <w:tbl>
                            <w:tblPr>
                              <w:tblW w:w="5227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600"/>
                              <w:gridCol w:w="2627"/>
                            </w:tblGrid>
                            <w:tr>
                              <w:trPr/>
                              <w:tc>
                                <w:tcPr>
                                  <w:tcW w:w="2600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Марка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Zeus (Турция)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2600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Тип генератора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синхронный, бесщеточный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2600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Класс защиты 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IP23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2600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Класс изоляции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ind w:left="0" w:right="0" w:hanging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2600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Стабильность напряжения</w:t>
                                  </w:r>
                                </w:p>
                              </w:tc>
                              <w:tc>
                                <w:tcPr>
                                  <w:tcW w:w="2627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± 1 %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5"/>
                              <w:widowControl/>
                              <w:pBdr/>
                              <w:shd w:fill="000000" w:val="clear"/>
                              <w:spacing w:before="0" w:after="0"/>
                              <w:ind w:left="0" w:right="0" w:hanging="0"/>
                              <w:jc w:val="center"/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/>
                                <w:i w:val="false"/>
                                <w:caps w:val="false"/>
                                <w:smallCaps w:val="false"/>
                                <w:color w:val="FFFFFF"/>
                                <w:spacing w:val="0"/>
                                <w:sz w:val="24"/>
                              </w:rPr>
                              <w:t>Гарантия</w:t>
                            </w:r>
                          </w:p>
                          <w:tbl>
                            <w:tblPr>
                              <w:tblW w:w="2173" w:type="dxa"/>
                              <w:jc w:val="left"/>
                              <w:tblInd w:w="0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971"/>
                              <w:gridCol w:w="1202"/>
                            </w:tblGrid>
                            <w:tr>
                              <w:trPr/>
                              <w:tc>
                                <w:tcPr>
                                  <w:tcW w:w="971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6"/>
                                    <w:spacing w:before="0" w:after="0"/>
                                    <w:ind w:left="0" w:right="0" w:hanging="0"/>
                                    <w:jc w:val="left"/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  <w:b w:val="false"/>
                                    </w:rPr>
                                    <w:t>Гарантия</w:t>
                                  </w:r>
                                </w:p>
                              </w:tc>
                              <w:tc>
                                <w:tcPr>
                                  <w:tcW w:w="1202" w:type="dxa"/>
                                  <w:tcBorders/>
                                  <w:vAlign w:val="center"/>
                                </w:tcPr>
                                <w:p>
                                  <w:pPr>
                                    <w:pStyle w:val="Style35"/>
                                    <w:spacing w:before="0" w:after="0"/>
                                    <w:rPr>
                                      <w:rFonts w:ascii="ProximaNova;Roboto;Arial;sans-serif" w:hAnsi="ProximaNova;Roboto;Arial;sans-serif"/>
                                    </w:rPr>
                                  </w:pPr>
                                  <w:r>
                                    <w:rPr>
                                      <w:rFonts w:ascii="ProximaNova;Roboto;Arial;sans-serif" w:hAnsi="ProximaNova;Roboto;Arial;sans-serif"/>
                                    </w:rPr>
                                    <w:t>12 месяцев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5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389.25pt;height:248.45pt;mso-wrap-distance-left:0pt;mso-wrap-distance-right:0pt;mso-wrap-distance-top:0pt;mso-wrap-distance-bottom:0pt;margin-top:0pt;mso-position-vertical:top;mso-position-vertical-relative:text;margin-left:388.85pt;mso-position-horizontal:right;mso-position-horizontal-relative:text">
                <v:textbox inset="0in,0in,0in,0in">
                  <w:txbxContent>
                    <w:p>
                      <w:pPr>
                        <w:pStyle w:val="Style25"/>
                        <w:widowControl/>
                        <w:pBdr/>
                        <w:shd w:fill="000000" w:val="clear"/>
                        <w:spacing w:before="0" w:after="0"/>
                        <w:ind w:left="0" w:right="0" w:hanging="0"/>
                        <w:jc w:val="center"/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</w:pPr>
                      <w:r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  <w:t>Двигатель</w:t>
                      </w:r>
                    </w:p>
                    <w:tbl>
                      <w:tblPr>
                        <w:tblW w:w="5389" w:type="dxa"/>
                        <w:jc w:val="left"/>
                        <w:tblInd w:w="0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3056"/>
                        <w:gridCol w:w="2333"/>
                      </w:tblGrid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Марка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Ricardo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Модель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R6105AZLD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Тип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дизельный, 4-х тактный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Количество цилиндров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6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Рабочий объём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6.75 л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Охлаждение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жидкостное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Частота вращения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1500 об/мин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Регулятор оборотов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электронный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Объем масла в двигателе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18 л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Рекомендуемый тип масла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SAE 15W40/10W30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3056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Объем охлаждающей жидкости</w:t>
                            </w:r>
                          </w:p>
                        </w:tc>
                        <w:tc>
                          <w:tcPr>
                            <w:tcW w:w="2333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23 л</w:t>
                            </w:r>
                          </w:p>
                        </w:tc>
                      </w:tr>
                    </w:tbl>
                    <w:p>
                      <w:pPr>
                        <w:pStyle w:val="Style25"/>
                        <w:widowControl/>
                        <w:pBdr/>
                        <w:shd w:fill="000000" w:val="clear"/>
                        <w:spacing w:before="0" w:after="0"/>
                        <w:ind w:left="0" w:right="0" w:hanging="0"/>
                        <w:jc w:val="center"/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</w:pPr>
                      <w:r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  <w:t>Генератор</w:t>
                      </w:r>
                    </w:p>
                    <w:tbl>
                      <w:tblPr>
                        <w:tblW w:w="5227" w:type="dxa"/>
                        <w:jc w:val="left"/>
                        <w:tblInd w:w="0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600"/>
                        <w:gridCol w:w="2627"/>
                      </w:tblGrid>
                      <w:tr>
                        <w:trPr/>
                        <w:tc>
                          <w:tcPr>
                            <w:tcW w:w="2600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Марка</w:t>
                            </w:r>
                          </w:p>
                        </w:tc>
                        <w:tc>
                          <w:tcPr>
                            <w:tcW w:w="2627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Zeus (Турция)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2600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Тип генератора</w:t>
                            </w:r>
                          </w:p>
                        </w:tc>
                        <w:tc>
                          <w:tcPr>
                            <w:tcW w:w="2627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синхронный, бесщеточный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2600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Класс защиты </w:t>
                            </w:r>
                          </w:p>
                        </w:tc>
                        <w:tc>
                          <w:tcPr>
                            <w:tcW w:w="2627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IP23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2600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Класс изоляции</w:t>
                            </w:r>
                          </w:p>
                        </w:tc>
                        <w:tc>
                          <w:tcPr>
                            <w:tcW w:w="2627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ind w:left="0" w:right="0" w:hanging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H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2600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Стабильность напряжения</w:t>
                            </w:r>
                          </w:p>
                        </w:tc>
                        <w:tc>
                          <w:tcPr>
                            <w:tcW w:w="2627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± 1 %</w:t>
                            </w:r>
                          </w:p>
                        </w:tc>
                      </w:tr>
                    </w:tbl>
                    <w:p>
                      <w:pPr>
                        <w:pStyle w:val="Style25"/>
                        <w:widowControl/>
                        <w:pBdr/>
                        <w:shd w:fill="000000" w:val="clear"/>
                        <w:spacing w:before="0" w:after="0"/>
                        <w:ind w:left="0" w:right="0" w:hanging="0"/>
                        <w:jc w:val="center"/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</w:pPr>
                      <w:r>
                        <w:rPr>
                          <w:rFonts w:ascii="ProximaNova;Roboto;Arial;sans-serif" w:hAnsi="ProximaNova;Roboto;Arial;sans-serif"/>
                          <w:b/>
                          <w:i w:val="false"/>
                          <w:caps w:val="false"/>
                          <w:smallCaps w:val="false"/>
                          <w:color w:val="FFFFFF"/>
                          <w:spacing w:val="0"/>
                          <w:sz w:val="24"/>
                        </w:rPr>
                        <w:t>Гарантия</w:t>
                      </w:r>
                    </w:p>
                    <w:tbl>
                      <w:tblPr>
                        <w:tblW w:w="2173" w:type="dxa"/>
                        <w:jc w:val="left"/>
                        <w:tblInd w:w="0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971"/>
                        <w:gridCol w:w="1202"/>
                      </w:tblGrid>
                      <w:tr>
                        <w:trPr/>
                        <w:tc>
                          <w:tcPr>
                            <w:tcW w:w="971" w:type="dxa"/>
                            <w:tcBorders/>
                            <w:vAlign w:val="center"/>
                          </w:tcPr>
                          <w:p>
                            <w:pPr>
                              <w:pStyle w:val="Style36"/>
                              <w:spacing w:before="0" w:after="0"/>
                              <w:ind w:left="0" w:right="0" w:hanging="0"/>
                              <w:jc w:val="left"/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  <w:b w:val="false"/>
                              </w:rPr>
                              <w:t>Гарантия</w:t>
                            </w:r>
                          </w:p>
                        </w:tc>
                        <w:tc>
                          <w:tcPr>
                            <w:tcW w:w="1202" w:type="dxa"/>
                            <w:tcBorders/>
                            <w:vAlign w:val="center"/>
                          </w:tcPr>
                          <w:p>
                            <w:pPr>
                              <w:pStyle w:val="Style35"/>
                              <w:spacing w:before="0" w:after="0"/>
                              <w:rPr>
                                <w:rFonts w:ascii="ProximaNova;Roboto;Arial;sans-serif" w:hAnsi="ProximaNova;Roboto;Arial;sans-serif"/>
                              </w:rPr>
                            </w:pPr>
                            <w:r>
                              <w:rPr>
                                <w:rFonts w:ascii="ProximaNova;Roboto;Arial;sans-serif" w:hAnsi="ProximaNova;Roboto;Arial;sans-serif"/>
                              </w:rPr>
                              <w:t>12 месяцев</w:t>
                            </w:r>
                          </w:p>
                        </w:tc>
                      </w:tr>
                    </w:tbl>
                    <w:p>
                      <w:pPr>
                        <w:pStyle w:val="Style25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 side="left"/>
              </v:rect>
            </w:pict>
          </mc:Fallback>
        </mc:AlternateContent>
      </w:r>
    </w:p>
    <w:p>
      <w:pPr>
        <w:pStyle w:val="Normal"/>
        <w:widowControl/>
        <w:tabs>
          <w:tab w:val="clear" w:pos="720"/>
          <w:tab w:val="left" w:pos="180" w:leader="none"/>
        </w:tabs>
        <w:suppressAutoHyphens w:val="false"/>
        <w:rPr>
          <w:iCs/>
          <w:sz w:val="24"/>
          <w:szCs w:val="24"/>
        </w:rPr>
      </w:pPr>
      <w:r>
        <w:rPr/>
      </w:r>
    </w:p>
    <w:sectPr>
      <w:type w:val="nextPage"/>
      <w:pgSz w:orient="landscape" w:w="16838" w:h="11906"/>
      <w:pgMar w:left="851" w:right="425" w:header="0" w:top="709" w:footer="0" w:bottom="426" w:gutter="0"/>
      <w:pgNumType w:fmt="decimal"/>
      <w:formProt w:val="false"/>
      <w:textDirection w:val="lrTb"/>
      <w:docGrid w:type="default" w:linePitch="272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ProximaNova">
    <w:altName w:val="Roboto"/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c6fa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a4"/>
    <w:uiPriority w:val="99"/>
    <w:semiHidden/>
    <w:qFormat/>
    <w:locked/>
    <w:rsid w:val="00246c73"/>
    <w:rPr>
      <w:rFonts w:ascii="Tahoma" w:hAnsi="Tahoma" w:cs="Times New Roman"/>
      <w:sz w:val="16"/>
    </w:rPr>
  </w:style>
  <w:style w:type="character" w:styleId="Tx1" w:customStyle="1">
    <w:name w:val="tx1"/>
    <w:uiPriority w:val="99"/>
    <w:qFormat/>
    <w:rsid w:val="00dd0ce3"/>
    <w:rPr>
      <w:b/>
    </w:rPr>
  </w:style>
  <w:style w:type="character" w:styleId="Applestylespan" w:customStyle="1">
    <w:name w:val="apple-style-span"/>
    <w:uiPriority w:val="99"/>
    <w:qFormat/>
    <w:rsid w:val="00796175"/>
    <w:rPr>
      <w:rFonts w:cs="Times New Roman"/>
    </w:rPr>
  </w:style>
  <w:style w:type="character" w:styleId="M1" w:customStyle="1">
    <w:name w:val="m1"/>
    <w:uiPriority w:val="99"/>
    <w:qFormat/>
    <w:rsid w:val="00796175"/>
    <w:rPr>
      <w:color w:val="0000FF"/>
    </w:rPr>
  </w:style>
  <w:style w:type="character" w:styleId="Annotationreference">
    <w:name w:val="annotation reference"/>
    <w:uiPriority w:val="99"/>
    <w:qFormat/>
    <w:rsid w:val="00294487"/>
    <w:rPr>
      <w:rFonts w:cs="Times New Roman"/>
      <w:sz w:val="16"/>
    </w:rPr>
  </w:style>
  <w:style w:type="character" w:styleId="Style15" w:customStyle="1">
    <w:name w:val="Текст примечания Знак"/>
    <w:link w:val="a7"/>
    <w:uiPriority w:val="99"/>
    <w:qFormat/>
    <w:locked/>
    <w:rsid w:val="00294487"/>
    <w:rPr>
      <w:rFonts w:ascii="Times New Roman" w:hAnsi="Times New Roman" w:cs="Times New Roman"/>
    </w:rPr>
  </w:style>
  <w:style w:type="character" w:styleId="Style16" w:customStyle="1">
    <w:name w:val="Основной текст Знак"/>
    <w:link w:val="a9"/>
    <w:uiPriority w:val="99"/>
    <w:qFormat/>
    <w:locked/>
    <w:rsid w:val="00266713"/>
    <w:rPr>
      <w:rFonts w:ascii="Times New Roman" w:hAnsi="Times New Roman" w:cs="Times New Roman"/>
      <w:sz w:val="20"/>
      <w:szCs w:val="20"/>
    </w:rPr>
  </w:style>
  <w:style w:type="character" w:styleId="Style17" w:customStyle="1">
    <w:name w:val="Заголовок Знак"/>
    <w:link w:val="ab"/>
    <w:uiPriority w:val="99"/>
    <w:qFormat/>
    <w:locked/>
    <w:rsid w:val="00b04f3f"/>
    <w:rPr>
      <w:rFonts w:ascii="Times New Roman" w:hAnsi="Times New Roman" w:cs="Times New Roman"/>
      <w:b/>
      <w:bCs/>
      <w:sz w:val="24"/>
      <w:szCs w:val="24"/>
    </w:rPr>
  </w:style>
  <w:style w:type="character" w:styleId="Style18" w:customStyle="1">
    <w:name w:val="Интернет-ссылка"/>
    <w:uiPriority w:val="99"/>
    <w:rsid w:val="001769e1"/>
    <w:rPr>
      <w:rFonts w:cs="Times New Roman"/>
      <w:color w:val="0000FF"/>
      <w:u w:val="single"/>
    </w:rPr>
  </w:style>
  <w:style w:type="character" w:styleId="Style19" w:customStyle="1">
    <w:name w:val="Верхний колонтитул Знак"/>
    <w:link w:val="ad"/>
    <w:uiPriority w:val="99"/>
    <w:qFormat/>
    <w:locked/>
    <w:rsid w:val="000517cc"/>
    <w:rPr>
      <w:rFonts w:ascii="Times New Roman" w:hAnsi="Times New Roman" w:cs="Times New Roman"/>
    </w:rPr>
  </w:style>
  <w:style w:type="character" w:styleId="Style20" w:customStyle="1">
    <w:name w:val="Основной текст с отступом Знак"/>
    <w:link w:val="af"/>
    <w:uiPriority w:val="99"/>
    <w:qFormat/>
    <w:locked/>
    <w:rsid w:val="00fd3878"/>
    <w:rPr>
      <w:rFonts w:ascii="Times New Roman" w:hAnsi="Times New Roman" w:cs="Times New Roman"/>
    </w:rPr>
  </w:style>
  <w:style w:type="character" w:styleId="Style21" w:customStyle="1">
    <w:name w:val="Абзац списка Знак"/>
    <w:link w:val="af1"/>
    <w:uiPriority w:val="34"/>
    <w:qFormat/>
    <w:rsid w:val="00387d37"/>
    <w:rPr>
      <w:rFonts w:ascii="Times New Roman" w:hAnsi="Times New Roman"/>
    </w:rPr>
  </w:style>
  <w:style w:type="character" w:styleId="Style22" w:customStyle="1">
    <w:name w:val="Выделение жирным"/>
    <w:qFormat/>
    <w:rsid w:val="00cd631c"/>
    <w:rPr>
      <w:b/>
      <w:bCs/>
    </w:rPr>
  </w:style>
  <w:style w:type="character" w:styleId="Style23">
    <w:name w:val="Выделение"/>
    <w:qFormat/>
    <w:rsid w:val="00cd631c"/>
    <w:rPr>
      <w:i/>
      <w:iCs/>
    </w:rPr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5">
    <w:name w:val="Body Text"/>
    <w:basedOn w:val="Normal"/>
    <w:link w:val="a8"/>
    <w:uiPriority w:val="99"/>
    <w:rsid w:val="00232192"/>
    <w:pPr>
      <w:widowControl/>
      <w:jc w:val="both"/>
    </w:pPr>
    <w:rPr/>
  </w:style>
  <w:style w:type="paragraph" w:styleId="Style26">
    <w:name w:val="List"/>
    <w:basedOn w:val="Style25"/>
    <w:rsid w:val="00cd631c"/>
    <w:pPr/>
    <w:rPr>
      <w:rFonts w:cs="Lucida Sans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Заголовок1"/>
    <w:basedOn w:val="Normal"/>
    <w:next w:val="Style25"/>
    <w:qFormat/>
    <w:rsid w:val="00cd631c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cd631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rsid w:val="00cd631c"/>
    <w:pPr>
      <w:suppressLineNumbers/>
    </w:pPr>
    <w:rPr>
      <w:rFonts w:cs="Lucida Sans"/>
    </w:rPr>
  </w:style>
  <w:style w:type="paragraph" w:styleId="BalloonText">
    <w:name w:val="Balloon Text"/>
    <w:basedOn w:val="Normal"/>
    <w:link w:val="a3"/>
    <w:uiPriority w:val="99"/>
    <w:semiHidden/>
    <w:qFormat/>
    <w:rsid w:val="00246c73"/>
    <w:pPr/>
    <w:rPr>
      <w:rFonts w:ascii="Tahoma" w:hAnsi="Tahoma"/>
      <w:sz w:val="16"/>
    </w:rPr>
  </w:style>
  <w:style w:type="paragraph" w:styleId="ConsNonformat" w:customStyle="1">
    <w:name w:val="ConsNonformat"/>
    <w:uiPriority w:val="99"/>
    <w:qFormat/>
    <w:rsid w:val="00d6470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ListParagraph">
    <w:name w:val="List Paragraph"/>
    <w:basedOn w:val="Normal"/>
    <w:link w:val="af0"/>
    <w:uiPriority w:val="34"/>
    <w:qFormat/>
    <w:rsid w:val="00573541"/>
    <w:pPr>
      <w:widowControl/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link w:val="a6"/>
    <w:uiPriority w:val="99"/>
    <w:qFormat/>
    <w:rsid w:val="00294487"/>
    <w:pPr/>
    <w:rPr/>
  </w:style>
  <w:style w:type="paragraph" w:styleId="Style29">
    <w:name w:val="Title"/>
    <w:basedOn w:val="Normal"/>
    <w:link w:val="aa"/>
    <w:uiPriority w:val="99"/>
    <w:qFormat/>
    <w:rsid w:val="00b04f3f"/>
    <w:pPr>
      <w:widowControl/>
      <w:jc w:val="center"/>
    </w:pPr>
    <w:rPr>
      <w:b/>
      <w:bCs/>
      <w:sz w:val="24"/>
      <w:szCs w:val="24"/>
    </w:rPr>
  </w:style>
  <w:style w:type="paragraph" w:styleId="NoSpacing">
    <w:name w:val="No Spacing"/>
    <w:uiPriority w:val="99"/>
    <w:qFormat/>
    <w:rsid w:val="006c2d84"/>
    <w:pPr>
      <w:widowControl/>
      <w:suppressAutoHyphens w:val="true"/>
      <w:bidi w:val="0"/>
      <w:spacing w:before="0" w:after="0"/>
      <w:jc w:val="left"/>
    </w:pPr>
    <w:rPr>
      <w:rFonts w:cs="Calibri" w:ascii="Calibri" w:hAnsi="Calibri" w:eastAsia="Times New Roman"/>
      <w:color w:val="auto"/>
      <w:kern w:val="0"/>
      <w:sz w:val="22"/>
      <w:szCs w:val="22"/>
      <w:lang w:eastAsia="en-US" w:val="ru-RU" w:bidi="ar-SA"/>
    </w:rPr>
  </w:style>
  <w:style w:type="paragraph" w:styleId="ConsNormal" w:customStyle="1">
    <w:name w:val="ConsNormal"/>
    <w:uiPriority w:val="99"/>
    <w:qFormat/>
    <w:rsid w:val="00ec31e4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30" w:customStyle="1">
    <w:name w:val="Колонтитул"/>
    <w:basedOn w:val="Normal"/>
    <w:qFormat/>
    <w:rsid w:val="00cd631c"/>
    <w:pPr/>
    <w:rPr/>
  </w:style>
  <w:style w:type="paragraph" w:styleId="Style31">
    <w:name w:val="Верхний и нижний колонтитулы"/>
    <w:basedOn w:val="Normal"/>
    <w:qFormat/>
    <w:pPr/>
    <w:rPr/>
  </w:style>
  <w:style w:type="paragraph" w:styleId="Style32">
    <w:name w:val="Header"/>
    <w:basedOn w:val="Normal"/>
    <w:link w:val="ac"/>
    <w:uiPriority w:val="99"/>
    <w:rsid w:val="000517cc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11" w:customStyle="1">
    <w:name w:val="Абзац списка1"/>
    <w:basedOn w:val="Normal"/>
    <w:uiPriority w:val="99"/>
    <w:qFormat/>
    <w:rsid w:val="000517cc"/>
    <w:pPr>
      <w:widowControl/>
      <w:spacing w:before="192" w:after="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3" w:customStyle="1">
    <w:name w:val="Декоративный"/>
    <w:uiPriority w:val="99"/>
    <w:qFormat/>
    <w:rsid w:val="000517cc"/>
    <w:pPr>
      <w:widowControl/>
      <w:suppressAutoHyphens w:val="true"/>
      <w:bidi w:val="0"/>
      <w:spacing w:before="0" w:after="0"/>
      <w:jc w:val="center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847e8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34">
    <w:name w:val="Body Text Indent"/>
    <w:basedOn w:val="Normal"/>
    <w:link w:val="ae"/>
    <w:uiPriority w:val="99"/>
    <w:rsid w:val="00fd3878"/>
    <w:pPr>
      <w:spacing w:before="0" w:after="120"/>
      <w:ind w:left="283" w:hanging="0"/>
    </w:pPr>
    <w:rPr/>
  </w:style>
  <w:style w:type="paragraph" w:styleId="NormalWeb">
    <w:name w:val="Normal (Web)"/>
    <w:basedOn w:val="Normal"/>
    <w:uiPriority w:val="99"/>
    <w:unhideWhenUsed/>
    <w:qFormat/>
    <w:rsid w:val="00531d7e"/>
    <w:pPr>
      <w:widowControl/>
      <w:spacing w:beforeAutospacing="1" w:afterAutospacing="1"/>
    </w:pPr>
    <w:rPr>
      <w:sz w:val="24"/>
      <w:szCs w:val="24"/>
    </w:rPr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99"/>
    <w:rsid w:val="006c79c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Application>LibreOffice/7.1.4.2$Windows_X86_64 LibreOffice_project/a529a4fab45b75fefc5b6226684193eb000654f6</Application>
  <AppVersion>15.0000</AppVersion>
  <Pages>4</Pages>
  <Words>970</Words>
  <Characters>6685</Characters>
  <CharactersWithSpaces>7484</CharactersWithSpaces>
  <Paragraphs>196</Paragraphs>
  <Company>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2023-01-13T09:00:00Z</dcterms:created>
  <dc:creator>u036</dc:creator>
  <dc:description/>
  <dc:language>ru-RU</dc:language>
  <cp:lastModifiedBy/>
  <cp:lastPrinted>2024-08-07T07:27:00Z</cp:lastPrinted>
  <dcterms:modified xsi:type="dcterms:W3CDTF">2024-09-24T15:14:26Z</dcterms:modified>
  <cp:revision>24</cp:revision>
  <dc:subject/>
  <dc:title>Заявка на размещение государственного заказа на проведение обследования с оценкой технического состояния строительных конструк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